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4A61" w14:textId="77777777" w:rsidR="00107C1B" w:rsidRDefault="00107C1B">
      <w:pPr>
        <w:spacing w:after="0" w:line="240" w:lineRule="auto"/>
      </w:pPr>
      <w:r>
        <w:separator/>
      </w:r>
    </w:p>
  </w:endnote>
  <w:endnote w:type="continuationSeparator" w:id="0">
    <w:p w14:paraId="28A54699" w14:textId="77777777" w:rsidR="00107C1B" w:rsidRDefault="0010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2E84" w14:textId="77777777" w:rsidR="00107C1B" w:rsidRDefault="00107C1B">
      <w:pPr>
        <w:spacing w:after="0" w:line="240" w:lineRule="auto"/>
      </w:pPr>
      <w:r>
        <w:separator/>
      </w:r>
    </w:p>
  </w:footnote>
  <w:footnote w:type="continuationSeparator" w:id="0">
    <w:p w14:paraId="46AD2F8D" w14:textId="77777777" w:rsidR="00107C1B" w:rsidRDefault="0010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6F9D"/>
    <w:rsid w:val="00F75FF5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2023-10-20T11:02:00Z</dcterms:modified>
</cp:coreProperties>
</file>